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66DFF0DE"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00941D99">
        <w:rPr>
          <w:rFonts w:ascii="Arial" w:eastAsia="MS Mincho" w:hAnsi="Arial" w:cs="Arial"/>
          <w:b/>
          <w:bCs/>
          <w:noProof/>
          <w:sz w:val="24"/>
          <w:szCs w:val="24"/>
          <w:lang w:eastAsia="ja-JP"/>
        </w:rPr>
        <w:t>88</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sidR="00A948B7">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00F05F35" w:rsidRPr="00F05F35">
        <w:rPr>
          <w:rFonts w:ascii="Arial" w:hAnsi="Arial" w:cs="Arial"/>
          <w:b/>
          <w:bCs/>
          <w:noProof/>
          <w:sz w:val="24"/>
          <w:szCs w:val="24"/>
        </w:rPr>
        <w:t>R1-1705780</w:t>
      </w:r>
    </w:p>
    <w:p w14:paraId="766D1BAF" w14:textId="333F275F" w:rsidR="007604F2" w:rsidRPr="007604F2" w:rsidRDefault="00941D99"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Spokane</w:t>
      </w:r>
      <w:r w:rsidR="007604F2" w:rsidRPr="007604F2">
        <w:rPr>
          <w:rFonts w:ascii="Arial" w:hAnsi="Arial" w:cs="Arial"/>
          <w:b/>
          <w:bCs/>
          <w:noProof/>
          <w:sz w:val="24"/>
          <w:szCs w:val="24"/>
        </w:rPr>
        <w:t xml:space="preserve">, </w:t>
      </w:r>
      <w:r>
        <w:rPr>
          <w:rFonts w:ascii="Arial" w:hAnsi="Arial" w:cs="Arial"/>
          <w:b/>
          <w:bCs/>
          <w:noProof/>
          <w:sz w:val="24"/>
          <w:szCs w:val="24"/>
        </w:rPr>
        <w:t>USA</w:t>
      </w:r>
      <w:r w:rsidR="007604F2" w:rsidRPr="007604F2">
        <w:rPr>
          <w:rFonts w:ascii="Arial" w:hAnsi="Arial" w:cs="Arial"/>
          <w:b/>
          <w:bCs/>
          <w:noProof/>
          <w:sz w:val="24"/>
          <w:szCs w:val="24"/>
        </w:rPr>
        <w:t xml:space="preserve">, </w:t>
      </w:r>
      <w:r w:rsidRPr="00941D99">
        <w:rPr>
          <w:rFonts w:ascii="Arial" w:hAnsi="Arial" w:cs="Arial"/>
          <w:b/>
          <w:bCs/>
          <w:noProof/>
          <w:sz w:val="24"/>
          <w:szCs w:val="24"/>
        </w:rPr>
        <w:t>3 - 7 Apr 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03A9E921"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7B7D1E">
        <w:rPr>
          <w:sz w:val="22"/>
          <w:szCs w:val="22"/>
          <w:lang w:val="en-US"/>
        </w:rPr>
        <w:t>On 64QAM modulation operation for Sidelink Communications</w:t>
      </w:r>
    </w:p>
    <w:p w14:paraId="35A90F35" w14:textId="01805627" w:rsidR="00005DBD" w:rsidRPr="00915DBA" w:rsidRDefault="00005DBD" w:rsidP="00005DBD">
      <w:pPr>
        <w:pStyle w:val="TdocHeader2"/>
        <w:jc w:val="left"/>
        <w:rPr>
          <w:sz w:val="22"/>
          <w:szCs w:val="22"/>
          <w:lang w:val="en-US"/>
        </w:rPr>
      </w:pPr>
      <w:r w:rsidRPr="00915DBA">
        <w:rPr>
          <w:sz w:val="22"/>
          <w:szCs w:val="22"/>
          <w:lang w:val="en-US"/>
        </w:rPr>
        <w:t>Agenda Item:</w:t>
      </w:r>
      <w:r w:rsidRPr="00915DBA">
        <w:rPr>
          <w:sz w:val="22"/>
          <w:szCs w:val="22"/>
          <w:lang w:val="en-US"/>
        </w:rPr>
        <w:tab/>
      </w:r>
      <w:r w:rsidR="00F05F35" w:rsidRPr="00915DBA">
        <w:rPr>
          <w:sz w:val="22"/>
          <w:szCs w:val="22"/>
          <w:lang w:val="en-US"/>
        </w:rPr>
        <w:t>7.1.3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17343A1A" w14:textId="6F186842" w:rsidR="00052CE9" w:rsidRDefault="00052CE9" w:rsidP="00052CE9">
      <w:pPr>
        <w:pStyle w:val="BodyText"/>
        <w:spacing w:before="240" w:after="240"/>
        <w:jc w:val="both"/>
        <w:rPr>
          <w:sz w:val="20"/>
          <w:szCs w:val="20"/>
        </w:rPr>
      </w:pPr>
      <w:r>
        <w:rPr>
          <w:sz w:val="20"/>
          <w:szCs w:val="20"/>
        </w:rPr>
        <w:t>The WID</w:t>
      </w:r>
      <w:r w:rsidR="00945C63">
        <w:rPr>
          <w:sz w:val="20"/>
          <w:szCs w:val="20"/>
        </w:rPr>
        <w:t xml:space="preserve"> </w:t>
      </w:r>
      <w:r w:rsidR="00945C63">
        <w:rPr>
          <w:rFonts w:eastAsia="Malgun Gothic"/>
          <w:sz w:val="20"/>
          <w:szCs w:val="20"/>
          <w:lang w:eastAsia="ko-KR"/>
        </w:rPr>
        <w:fldChar w:fldCharType="begin"/>
      </w:r>
      <w:r w:rsidR="00945C63">
        <w:rPr>
          <w:rFonts w:eastAsia="Malgun Gothic"/>
          <w:sz w:val="20"/>
          <w:szCs w:val="20"/>
          <w:lang w:eastAsia="ko-KR"/>
        </w:rPr>
        <w:instrText xml:space="preserve"> REF _Ref477334379 \r \h </w:instrText>
      </w:r>
      <w:r w:rsidR="00945C63">
        <w:rPr>
          <w:rFonts w:eastAsia="Malgun Gothic"/>
          <w:sz w:val="20"/>
          <w:szCs w:val="20"/>
          <w:lang w:eastAsia="ko-KR"/>
        </w:rPr>
      </w:r>
      <w:r w:rsidR="00945C63">
        <w:rPr>
          <w:rFonts w:eastAsia="Malgun Gothic"/>
          <w:sz w:val="20"/>
          <w:szCs w:val="20"/>
          <w:lang w:eastAsia="ko-KR"/>
        </w:rPr>
        <w:fldChar w:fldCharType="separate"/>
      </w:r>
      <w:r w:rsidR="00BA1426">
        <w:rPr>
          <w:rFonts w:eastAsia="Malgun Gothic"/>
          <w:sz w:val="20"/>
          <w:szCs w:val="20"/>
          <w:lang w:eastAsia="ko-KR"/>
        </w:rPr>
        <w:t>[1]</w:t>
      </w:r>
      <w:r w:rsidR="00945C63">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r w:rsidR="0002716F">
        <w:rPr>
          <w:sz w:val="20"/>
          <w:szCs w:val="20"/>
        </w:rPr>
        <w:t>:</w:t>
      </w:r>
    </w:p>
    <w:p w14:paraId="49A5B363" w14:textId="77777777" w:rsidR="00052CE9" w:rsidRPr="00CF4679" w:rsidRDefault="00052CE9" w:rsidP="00052CE9">
      <w:pPr>
        <w:numPr>
          <w:ilvl w:val="0"/>
          <w:numId w:val="30"/>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74DFC2CA"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4740B9D1" w14:textId="77777777" w:rsidR="00052CE9" w:rsidRPr="0024338F" w:rsidRDefault="00052CE9" w:rsidP="00052CE9">
      <w:pPr>
        <w:numPr>
          <w:ilvl w:val="1"/>
          <w:numId w:val="30"/>
        </w:numPr>
        <w:overflowPunct w:val="0"/>
        <w:autoSpaceDE w:val="0"/>
        <w:autoSpaceDN w:val="0"/>
        <w:jc w:val="both"/>
        <w:rPr>
          <w:lang w:eastAsia="zh-CN"/>
        </w:rPr>
      </w:pPr>
      <w:r w:rsidRPr="00CF6118">
        <w:rPr>
          <w:rFonts w:hint="eastAsia"/>
          <w:lang w:eastAsia="zh-CN"/>
        </w:rPr>
        <w:t>64QAM</w:t>
      </w:r>
      <w:r>
        <w:rPr>
          <w:rFonts w:hint="eastAsia"/>
          <w:lang w:eastAsia="zh-CN"/>
        </w:rPr>
        <w:t>;</w:t>
      </w:r>
    </w:p>
    <w:p w14:paraId="19255946"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48DE9DCF" w14:textId="77777777" w:rsidR="00052CE9" w:rsidRDefault="00052CE9" w:rsidP="00052CE9">
      <w:pPr>
        <w:numPr>
          <w:ilvl w:val="1"/>
          <w:numId w:val="30"/>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72486396" w14:textId="57AE7011" w:rsidR="00AF6F2D" w:rsidRDefault="00AF6F2D" w:rsidP="00DF3FAA">
      <w:pPr>
        <w:pStyle w:val="BodyText"/>
        <w:spacing w:before="240" w:after="240"/>
        <w:jc w:val="both"/>
        <w:rPr>
          <w:sz w:val="20"/>
          <w:szCs w:val="20"/>
        </w:rPr>
      </w:pPr>
      <w:r>
        <w:rPr>
          <w:sz w:val="20"/>
          <w:szCs w:val="20"/>
        </w:rPr>
        <w:t xml:space="preserve">In this contribution present our views on the specification of 64QAM modulation for sidelink communications. We discuss a), c), and d) in </w:t>
      </w:r>
      <w:r w:rsidR="00545EEE">
        <w:rPr>
          <w:sz w:val="20"/>
          <w:szCs w:val="20"/>
        </w:rPr>
        <w:fldChar w:fldCharType="begin"/>
      </w:r>
      <w:r w:rsidR="00545EEE">
        <w:rPr>
          <w:sz w:val="20"/>
          <w:szCs w:val="20"/>
        </w:rPr>
        <w:instrText xml:space="preserve"> REF _Ref478123183 \r \h </w:instrText>
      </w:r>
      <w:r w:rsidR="00545EEE">
        <w:rPr>
          <w:sz w:val="20"/>
          <w:szCs w:val="20"/>
        </w:rPr>
      </w:r>
      <w:r w:rsidR="00545EEE">
        <w:rPr>
          <w:sz w:val="20"/>
          <w:szCs w:val="20"/>
        </w:rPr>
        <w:fldChar w:fldCharType="separate"/>
      </w:r>
      <w:r w:rsidR="00BA1426">
        <w:rPr>
          <w:sz w:val="20"/>
          <w:szCs w:val="20"/>
        </w:rPr>
        <w:t>[3]</w:t>
      </w:r>
      <w:r w:rsidR="00545EEE">
        <w:rPr>
          <w:sz w:val="20"/>
          <w:szCs w:val="20"/>
        </w:rPr>
        <w:fldChar w:fldCharType="end"/>
      </w:r>
      <w:r w:rsidR="00545EEE">
        <w:rPr>
          <w:sz w:val="20"/>
          <w:szCs w:val="20"/>
        </w:rPr>
        <w:t xml:space="preserve">, </w:t>
      </w:r>
      <w:r w:rsidR="00545EEE">
        <w:rPr>
          <w:sz w:val="20"/>
          <w:szCs w:val="20"/>
        </w:rPr>
        <w:fldChar w:fldCharType="begin"/>
      </w:r>
      <w:r w:rsidR="00545EEE">
        <w:rPr>
          <w:sz w:val="20"/>
          <w:szCs w:val="20"/>
        </w:rPr>
        <w:instrText xml:space="preserve"> REF _Ref478123186 \r \h </w:instrText>
      </w:r>
      <w:r w:rsidR="00545EEE">
        <w:rPr>
          <w:sz w:val="20"/>
          <w:szCs w:val="20"/>
        </w:rPr>
      </w:r>
      <w:r w:rsidR="00545EEE">
        <w:rPr>
          <w:sz w:val="20"/>
          <w:szCs w:val="20"/>
        </w:rPr>
        <w:fldChar w:fldCharType="separate"/>
      </w:r>
      <w:r w:rsidR="00BA1426">
        <w:rPr>
          <w:sz w:val="20"/>
          <w:szCs w:val="20"/>
        </w:rPr>
        <w:t>[4]</w:t>
      </w:r>
      <w:r w:rsidR="00545EEE">
        <w:rPr>
          <w:sz w:val="20"/>
          <w:szCs w:val="20"/>
        </w:rPr>
        <w:fldChar w:fldCharType="end"/>
      </w:r>
      <w:r w:rsidR="00545EEE">
        <w:rPr>
          <w:sz w:val="20"/>
          <w:szCs w:val="20"/>
        </w:rPr>
        <w:t xml:space="preserve">, and </w:t>
      </w:r>
      <w:r w:rsidR="00545EEE">
        <w:rPr>
          <w:sz w:val="20"/>
          <w:szCs w:val="20"/>
        </w:rPr>
        <w:fldChar w:fldCharType="begin"/>
      </w:r>
      <w:r w:rsidR="00545EEE">
        <w:rPr>
          <w:sz w:val="20"/>
          <w:szCs w:val="20"/>
        </w:rPr>
        <w:instrText xml:space="preserve"> REF _Ref478123184 \r \h </w:instrText>
      </w:r>
      <w:r w:rsidR="00545EEE">
        <w:rPr>
          <w:sz w:val="20"/>
          <w:szCs w:val="20"/>
        </w:rPr>
      </w:r>
      <w:r w:rsidR="00545EEE">
        <w:rPr>
          <w:sz w:val="20"/>
          <w:szCs w:val="20"/>
        </w:rPr>
        <w:fldChar w:fldCharType="separate"/>
      </w:r>
      <w:r w:rsidR="00BA1426">
        <w:rPr>
          <w:sz w:val="20"/>
          <w:szCs w:val="20"/>
        </w:rPr>
        <w:t>[5]</w:t>
      </w:r>
      <w:r w:rsidR="00545EEE">
        <w:rPr>
          <w:sz w:val="20"/>
          <w:szCs w:val="20"/>
        </w:rPr>
        <w:fldChar w:fldCharType="end"/>
      </w:r>
      <w:r w:rsidR="00545EEE">
        <w:rPr>
          <w:sz w:val="20"/>
          <w:szCs w:val="20"/>
        </w:rPr>
        <w:t>, respectively.</w:t>
      </w:r>
    </w:p>
    <w:p w14:paraId="7A3B78D5" w14:textId="6AD6C46C" w:rsidR="00495771" w:rsidRDefault="00660B2D" w:rsidP="00DF3FAA">
      <w:pPr>
        <w:pStyle w:val="BodyText"/>
        <w:spacing w:before="240" w:after="240"/>
        <w:jc w:val="both"/>
        <w:rPr>
          <w:sz w:val="20"/>
          <w:szCs w:val="20"/>
        </w:rPr>
      </w:pPr>
      <w:r>
        <w:rPr>
          <w:sz w:val="20"/>
          <w:szCs w:val="20"/>
        </w:rPr>
        <w:t xml:space="preserve">In order to </w:t>
      </w:r>
      <w:r w:rsidR="00180F4F">
        <w:rPr>
          <w:sz w:val="20"/>
          <w:szCs w:val="20"/>
        </w:rPr>
        <w:t xml:space="preserve">provide higher data rates within a given transmission bandwidth </w:t>
      </w:r>
      <w:r>
        <w:rPr>
          <w:sz w:val="20"/>
          <w:szCs w:val="20"/>
        </w:rPr>
        <w:t>one can use higher-order modulation, though t</w:t>
      </w:r>
      <w:r w:rsidR="00180F4F" w:rsidRPr="00180F4F">
        <w:rPr>
          <w:sz w:val="20"/>
          <w:szCs w:val="20"/>
        </w:rPr>
        <w:t>h</w:t>
      </w:r>
      <w:r>
        <w:rPr>
          <w:sz w:val="20"/>
          <w:szCs w:val="20"/>
        </w:rPr>
        <w:t>is</w:t>
      </w:r>
      <w:r w:rsidR="00180F4F" w:rsidRPr="00180F4F">
        <w:rPr>
          <w:sz w:val="20"/>
          <w:szCs w:val="20"/>
        </w:rPr>
        <w:t xml:space="preserve"> higher bandwidth utilization comes at the cost of reduced robustness to noise and interference.</w:t>
      </w:r>
      <w:r w:rsidR="00180F4F">
        <w:rPr>
          <w:sz w:val="20"/>
          <w:szCs w:val="20"/>
        </w:rPr>
        <w:t xml:space="preserve"> Rel-14 PC5 UEs have the modulation order two </w:t>
      </w:r>
      <w:r>
        <w:rPr>
          <w:sz w:val="20"/>
          <w:szCs w:val="20"/>
        </w:rPr>
        <w:t xml:space="preserve">bits </w:t>
      </w:r>
      <w:r w:rsidR="00180F4F">
        <w:rPr>
          <w:sz w:val="20"/>
          <w:szCs w:val="20"/>
        </w:rPr>
        <w:t xml:space="preserve">for QPSK and four </w:t>
      </w:r>
      <w:r>
        <w:rPr>
          <w:sz w:val="20"/>
          <w:szCs w:val="20"/>
        </w:rPr>
        <w:t>bits for 16QAM</w:t>
      </w:r>
      <w:r w:rsidR="00945C63">
        <w:rPr>
          <w:sz w:val="20"/>
          <w:szCs w:val="20"/>
        </w:rPr>
        <w:t xml:space="preserve"> </w:t>
      </w:r>
      <w:r w:rsidR="00945C63">
        <w:rPr>
          <w:rFonts w:eastAsia="Malgun Gothic"/>
          <w:sz w:val="20"/>
          <w:szCs w:val="20"/>
          <w:lang w:eastAsia="ko-KR"/>
        </w:rPr>
        <w:fldChar w:fldCharType="begin"/>
      </w:r>
      <w:r w:rsidR="00945C63">
        <w:rPr>
          <w:rFonts w:eastAsia="Malgun Gothic"/>
          <w:sz w:val="20"/>
          <w:szCs w:val="20"/>
          <w:lang w:eastAsia="ko-KR"/>
        </w:rPr>
        <w:instrText xml:space="preserve"> REF _Ref478047449 \r \h </w:instrText>
      </w:r>
      <w:r w:rsidR="00945C63">
        <w:rPr>
          <w:rFonts w:eastAsia="Malgun Gothic"/>
          <w:sz w:val="20"/>
          <w:szCs w:val="20"/>
          <w:lang w:eastAsia="ko-KR"/>
        </w:rPr>
      </w:r>
      <w:r w:rsidR="00945C63">
        <w:rPr>
          <w:rFonts w:eastAsia="Malgun Gothic"/>
          <w:sz w:val="20"/>
          <w:szCs w:val="20"/>
          <w:lang w:eastAsia="ko-KR"/>
        </w:rPr>
        <w:fldChar w:fldCharType="separate"/>
      </w:r>
      <w:r w:rsidR="00BA1426">
        <w:rPr>
          <w:rFonts w:eastAsia="Malgun Gothic"/>
          <w:sz w:val="20"/>
          <w:szCs w:val="20"/>
          <w:lang w:eastAsia="ko-KR"/>
        </w:rPr>
        <w:t>[2]</w:t>
      </w:r>
      <w:r w:rsidR="00945C63">
        <w:rPr>
          <w:rFonts w:eastAsia="Malgun Gothic"/>
          <w:sz w:val="20"/>
          <w:szCs w:val="20"/>
          <w:lang w:eastAsia="ko-KR"/>
        </w:rPr>
        <w:fldChar w:fldCharType="end"/>
      </w:r>
      <w:r w:rsidR="007B7D1E">
        <w:rPr>
          <w:rFonts w:eastAsia="Malgun Gothic"/>
          <w:sz w:val="20"/>
          <w:szCs w:val="20"/>
          <w:lang w:eastAsia="ko-KR"/>
        </w:rPr>
        <w:t>.</w:t>
      </w:r>
      <w:r>
        <w:rPr>
          <w:sz w:val="20"/>
          <w:szCs w:val="20"/>
        </w:rPr>
        <w:t xml:space="preserve"> The highest order with</w:t>
      </w:r>
      <w:r w:rsidR="00180F4F">
        <w:rPr>
          <w:sz w:val="20"/>
          <w:szCs w:val="20"/>
        </w:rPr>
        <w:t xml:space="preserve"> quadruplets of bits </w:t>
      </w:r>
      <w:r>
        <w:rPr>
          <w:sz w:val="20"/>
          <w:szCs w:val="20"/>
        </w:rPr>
        <w:t>for</w:t>
      </w:r>
      <w:r w:rsidR="00180F4F">
        <w:rPr>
          <w:sz w:val="20"/>
          <w:szCs w:val="20"/>
        </w:rPr>
        <w:t xml:space="preserve"> 16QAM modulation can be turned into hextuplets of bits with 64QAM modulation for Rel-15 PC5 UEs.</w:t>
      </w:r>
    </w:p>
    <w:p w14:paraId="7466D6BE" w14:textId="6CB7FE92" w:rsidR="004A307B" w:rsidRDefault="004A307B" w:rsidP="001C33A7">
      <w:pPr>
        <w:pStyle w:val="Heading1"/>
      </w:pPr>
      <w:r>
        <w:t>Considerations on</w:t>
      </w:r>
      <w:r w:rsidR="007B7D1E">
        <w:t xml:space="preserve"> 64QAM for sidelink communications</w:t>
      </w:r>
      <w:r>
        <w:t xml:space="preserve"> </w:t>
      </w:r>
    </w:p>
    <w:p w14:paraId="07B0ABB0" w14:textId="21397C11" w:rsidR="007B7D1E" w:rsidRPr="0096233E" w:rsidRDefault="007B7D1E" w:rsidP="009B50BD">
      <w:pPr>
        <w:jc w:val="both"/>
        <w:rPr>
          <w:lang w:val="en-US"/>
        </w:rPr>
      </w:pPr>
      <w:r>
        <w:rPr>
          <w:lang w:val="en-US"/>
        </w:rPr>
        <w:t>Higher modulation operation for sidelink communications can be used to attain higher bandwidth utilization, e.g. in situations with good channel quality. Broadcast scenarios (i.e., not unicast physical layer) that can benefit from this are those that require high bit rates, and where there is a potential trade-off between higher MCS scheme and lower coverage. Use case scenarios that motivates higher order modulation are for example:</w:t>
      </w:r>
    </w:p>
    <w:p w14:paraId="546043CC" w14:textId="400E6D81" w:rsidR="007B7D1E" w:rsidRPr="00913D7B" w:rsidRDefault="007B7D1E" w:rsidP="009B50BD">
      <w:pPr>
        <w:pStyle w:val="ListParagraph"/>
        <w:numPr>
          <w:ilvl w:val="0"/>
          <w:numId w:val="38"/>
        </w:numPr>
        <w:jc w:val="both"/>
        <w:rPr>
          <w:rFonts w:ascii="Times New Roman" w:hAnsi="Times New Roman" w:cs="Times New Roman"/>
          <w:sz w:val="20"/>
          <w:szCs w:val="20"/>
          <w:lang w:eastAsia="en-US"/>
        </w:rPr>
      </w:pPr>
      <w:r w:rsidRPr="00913D7B">
        <w:rPr>
          <w:rFonts w:ascii="Times New Roman" w:hAnsi="Times New Roman" w:cs="Times New Roman"/>
          <w:sz w:val="20"/>
          <w:szCs w:val="20"/>
          <w:lang w:eastAsia="en-US"/>
        </w:rPr>
        <w:t>Platooning</w:t>
      </w:r>
      <w:r>
        <w:rPr>
          <w:rFonts w:ascii="Times New Roman" w:hAnsi="Times New Roman" w:cs="Times New Roman"/>
          <w:sz w:val="20"/>
          <w:szCs w:val="20"/>
          <w:lang w:eastAsia="en-US"/>
        </w:rPr>
        <w:t xml:space="preserve"> and See through use cases</w:t>
      </w:r>
      <w:r w:rsidRPr="00913D7B">
        <w:rPr>
          <w:rFonts w:ascii="Times New Roman" w:hAnsi="Times New Roman" w:cs="Times New Roman"/>
          <w:sz w:val="20"/>
          <w:szCs w:val="20"/>
          <w:lang w:eastAsia="en-US"/>
        </w:rPr>
        <w:t xml:space="preserve"> – </w:t>
      </w:r>
      <w:r>
        <w:rPr>
          <w:rFonts w:ascii="Times New Roman" w:hAnsi="Times New Roman" w:cs="Times New Roman"/>
          <w:sz w:val="20"/>
          <w:szCs w:val="20"/>
          <w:lang w:eastAsia="en-US"/>
        </w:rPr>
        <w:t xml:space="preserve">where e.g. </w:t>
      </w:r>
      <w:r w:rsidRPr="00913D7B">
        <w:rPr>
          <w:rFonts w:ascii="Times New Roman" w:hAnsi="Times New Roman" w:cs="Times New Roman"/>
          <w:sz w:val="20"/>
          <w:szCs w:val="20"/>
          <w:lang w:eastAsia="en-US"/>
        </w:rPr>
        <w:t>short amount of time</w:t>
      </w:r>
      <w:r>
        <w:rPr>
          <w:rFonts w:ascii="Times New Roman" w:hAnsi="Times New Roman" w:cs="Times New Roman"/>
          <w:sz w:val="20"/>
          <w:szCs w:val="20"/>
          <w:lang w:eastAsia="en-US"/>
        </w:rPr>
        <w:t>s</w:t>
      </w:r>
      <w:r w:rsidR="00945C63">
        <w:rPr>
          <w:rFonts w:ascii="Times New Roman" w:hAnsi="Times New Roman" w:cs="Times New Roman"/>
          <w:sz w:val="20"/>
          <w:szCs w:val="20"/>
          <w:lang w:eastAsia="en-US"/>
        </w:rPr>
        <w:t xml:space="preserve"> can be used</w:t>
      </w:r>
      <w:r w:rsidRPr="00913D7B">
        <w:rPr>
          <w:rFonts w:ascii="Times New Roman" w:hAnsi="Times New Roman" w:cs="Times New Roman"/>
          <w:sz w:val="20"/>
          <w:szCs w:val="20"/>
          <w:lang w:eastAsia="en-US"/>
        </w:rPr>
        <w:t xml:space="preserve"> (e.g. once every 100 ms)</w:t>
      </w:r>
      <w:r>
        <w:rPr>
          <w:rFonts w:ascii="Times New Roman" w:hAnsi="Times New Roman" w:cs="Times New Roman"/>
          <w:sz w:val="20"/>
          <w:szCs w:val="20"/>
          <w:lang w:eastAsia="en-US"/>
        </w:rPr>
        <w:t>,</w:t>
      </w:r>
    </w:p>
    <w:p w14:paraId="6A586374" w14:textId="26CBAEDC" w:rsidR="001348D5" w:rsidRPr="00945C63" w:rsidRDefault="007B7D1E" w:rsidP="00EB01E4">
      <w:pPr>
        <w:pStyle w:val="BodyText"/>
        <w:numPr>
          <w:ilvl w:val="0"/>
          <w:numId w:val="17"/>
        </w:numPr>
        <w:spacing w:before="240" w:after="240"/>
        <w:jc w:val="both"/>
        <w:rPr>
          <w:sz w:val="20"/>
          <w:szCs w:val="20"/>
        </w:rPr>
      </w:pPr>
      <w:r w:rsidRPr="00913D7B">
        <w:rPr>
          <w:sz w:val="20"/>
          <w:szCs w:val="20"/>
        </w:rPr>
        <w:t>Safety applications</w:t>
      </w:r>
      <w:r>
        <w:rPr>
          <w:sz w:val="20"/>
          <w:szCs w:val="20"/>
        </w:rPr>
        <w:t xml:space="preserve"> – where also longer time periods can be considered</w:t>
      </w:r>
      <w:r w:rsidRPr="00945C63">
        <w:rPr>
          <w:sz w:val="20"/>
          <w:szCs w:val="20"/>
        </w:rPr>
        <w:t>.</w:t>
      </w:r>
    </w:p>
    <w:p w14:paraId="7FA998F8" w14:textId="3C78C7FF" w:rsidR="00052CE9" w:rsidRPr="001348D5" w:rsidRDefault="00052CE9" w:rsidP="009B50BD">
      <w:pPr>
        <w:jc w:val="both"/>
      </w:pPr>
      <w:r>
        <w:t>In the current specification, the MCS value used for transmission of PSSCH is chosen by the UE within certain limits set by the pool configuration (based on speed, synchronization, etc.) and the congestion control procedures (based on CBR, CR, etc.). Before exten</w:t>
      </w:r>
      <w:r w:rsidR="001348D5">
        <w:t>ding this framework to 64</w:t>
      </w:r>
      <w:r>
        <w:t>QAM, RAN1 should assess the performance in terms of speed, range, reliability, etc.</w:t>
      </w:r>
    </w:p>
    <w:p w14:paraId="2C255317" w14:textId="57B80F5D" w:rsidR="001348D5" w:rsidRDefault="00A30D83" w:rsidP="00E92726">
      <w:pPr>
        <w:pStyle w:val="BodyText"/>
        <w:spacing w:after="240"/>
        <w:jc w:val="both"/>
        <w:rPr>
          <w:b/>
          <w:i/>
          <w:sz w:val="20"/>
          <w:szCs w:val="20"/>
        </w:rPr>
      </w:pPr>
      <w:r w:rsidRPr="003810E1">
        <w:rPr>
          <w:b/>
          <w:i/>
          <w:sz w:val="20"/>
          <w:szCs w:val="20"/>
        </w:rPr>
        <w:t>Proposal</w:t>
      </w:r>
      <w:r w:rsidR="0038188D">
        <w:rPr>
          <w:b/>
          <w:i/>
          <w:sz w:val="20"/>
          <w:szCs w:val="20"/>
        </w:rPr>
        <w:t xml:space="preserve"> 1</w:t>
      </w:r>
      <w:r w:rsidRPr="003810E1">
        <w:rPr>
          <w:b/>
          <w:i/>
          <w:sz w:val="20"/>
          <w:szCs w:val="20"/>
        </w:rPr>
        <w:t xml:space="preserve">: </w:t>
      </w:r>
    </w:p>
    <w:p w14:paraId="20D48E10" w14:textId="75725ACC" w:rsidR="00890AF1" w:rsidRPr="00E92726" w:rsidRDefault="00950065" w:rsidP="001348D5">
      <w:pPr>
        <w:pStyle w:val="BodyText"/>
        <w:numPr>
          <w:ilvl w:val="0"/>
          <w:numId w:val="41"/>
        </w:numPr>
        <w:spacing w:after="240"/>
        <w:jc w:val="both"/>
        <w:rPr>
          <w:b/>
          <w:i/>
          <w:sz w:val="20"/>
          <w:szCs w:val="20"/>
        </w:rPr>
      </w:pPr>
      <w:r>
        <w:rPr>
          <w:b/>
          <w:i/>
          <w:sz w:val="20"/>
          <w:szCs w:val="20"/>
        </w:rPr>
        <w:t>RAN1 to study the performance of 64QAM under existing assumptions</w:t>
      </w:r>
      <w:r w:rsidR="008B1F63">
        <w:rPr>
          <w:b/>
          <w:i/>
          <w:sz w:val="20"/>
          <w:szCs w:val="20"/>
        </w:rPr>
        <w:t xml:space="preserve">, </w:t>
      </w:r>
      <w:r w:rsidR="00C96196">
        <w:rPr>
          <w:b/>
          <w:i/>
          <w:sz w:val="20"/>
          <w:szCs w:val="20"/>
        </w:rPr>
        <w:t>including</w:t>
      </w:r>
      <w:r w:rsidR="008B1F63">
        <w:rPr>
          <w:b/>
          <w:i/>
          <w:sz w:val="20"/>
          <w:szCs w:val="20"/>
        </w:rPr>
        <w:t xml:space="preserve"> the specific pool configuration characteristic and congestion control procedures</w:t>
      </w:r>
      <w:r w:rsidR="001348D5">
        <w:rPr>
          <w:b/>
          <w:i/>
          <w:sz w:val="20"/>
          <w:szCs w:val="20"/>
        </w:rPr>
        <w:t>.</w:t>
      </w:r>
    </w:p>
    <w:p w14:paraId="2ACF0C77" w14:textId="77777777" w:rsidR="00052CE9" w:rsidRDefault="00052CE9" w:rsidP="00052CE9">
      <w:pPr>
        <w:pStyle w:val="Heading1"/>
      </w:pPr>
      <w:r>
        <w:t xml:space="preserve">Introduction of support for 64QAM </w:t>
      </w:r>
    </w:p>
    <w:p w14:paraId="641E02FA" w14:textId="2C2D92A3" w:rsidR="00052CE9" w:rsidRPr="001D13E3" w:rsidRDefault="001348D5" w:rsidP="00052CE9">
      <w:pPr>
        <w:rPr>
          <w:lang w:val="en-US"/>
        </w:rPr>
      </w:pPr>
      <w:r>
        <w:rPr>
          <w:lang w:val="en-US"/>
        </w:rPr>
        <w:t>To introduce support for 64</w:t>
      </w:r>
      <w:r w:rsidR="00052CE9" w:rsidRPr="001D13E3">
        <w:rPr>
          <w:lang w:val="en-US"/>
        </w:rPr>
        <w:t>QAM, the following issues need to be considered</w:t>
      </w:r>
      <w:r w:rsidR="00052CE9">
        <w:rPr>
          <w:lang w:val="en-US"/>
        </w:rPr>
        <w:t>:</w:t>
      </w:r>
    </w:p>
    <w:p w14:paraId="6E65112D" w14:textId="048BC083" w:rsidR="00052CE9" w:rsidRPr="009268E0" w:rsidRDefault="00052CE9" w:rsidP="00052CE9">
      <w:pPr>
        <w:pStyle w:val="ListParagraph"/>
        <w:numPr>
          <w:ilvl w:val="0"/>
          <w:numId w:val="40"/>
        </w:numPr>
      </w:pPr>
      <w:r w:rsidRPr="00D57F97">
        <w:rPr>
          <w:rFonts w:ascii="Times New Roman" w:hAnsi="Times New Roman" w:cs="Times New Roman"/>
          <w:sz w:val="20"/>
          <w:szCs w:val="20"/>
        </w:rPr>
        <w:t>Signaling aspects</w:t>
      </w:r>
      <w:r w:rsidR="00945C63">
        <w:rPr>
          <w:rFonts w:ascii="Times New Roman" w:hAnsi="Times New Roman" w:cs="Times New Roman"/>
          <w:sz w:val="20"/>
          <w:szCs w:val="20"/>
        </w:rPr>
        <w:t>.</w:t>
      </w:r>
    </w:p>
    <w:p w14:paraId="3650DBD1" w14:textId="0065227B" w:rsidR="00052CE9" w:rsidRPr="009268E0" w:rsidRDefault="00052CE9" w:rsidP="00052CE9">
      <w:pPr>
        <w:pStyle w:val="ListParagraph"/>
        <w:numPr>
          <w:ilvl w:val="0"/>
          <w:numId w:val="40"/>
        </w:numPr>
      </w:pPr>
      <w:r w:rsidRPr="00D57F97">
        <w:rPr>
          <w:rFonts w:ascii="Times New Roman" w:hAnsi="Times New Roman" w:cs="Times New Roman"/>
          <w:sz w:val="20"/>
          <w:szCs w:val="20"/>
        </w:rPr>
        <w:t>Receiver requirements</w:t>
      </w:r>
      <w:r w:rsidR="00945C63">
        <w:rPr>
          <w:rFonts w:ascii="Times New Roman" w:hAnsi="Times New Roman" w:cs="Times New Roman"/>
          <w:sz w:val="20"/>
          <w:szCs w:val="20"/>
        </w:rPr>
        <w:t>.</w:t>
      </w:r>
    </w:p>
    <w:p w14:paraId="570DAD20" w14:textId="77777777" w:rsidR="00052CE9" w:rsidRDefault="00052CE9" w:rsidP="00052CE9">
      <w:pPr>
        <w:pStyle w:val="Heading2"/>
        <w:rPr>
          <w:lang w:val="en-US"/>
        </w:rPr>
      </w:pPr>
      <w:r>
        <w:rPr>
          <w:lang w:val="en-US"/>
        </w:rPr>
        <w:lastRenderedPageBreak/>
        <w:t>Signaling aspects</w:t>
      </w:r>
    </w:p>
    <w:p w14:paraId="42B79A6A" w14:textId="333BE005" w:rsidR="00052CE9" w:rsidRDefault="00052CE9" w:rsidP="00052CE9">
      <w:pPr>
        <w:rPr>
          <w:lang w:val="en-US"/>
        </w:rPr>
      </w:pPr>
      <w:r>
        <w:rPr>
          <w:lang w:val="en-US"/>
        </w:rPr>
        <w:t>According to the existing specification, 5 bits are used for transmission of MCS</w:t>
      </w:r>
      <w:r w:rsidR="00864D30">
        <w:rPr>
          <w:lang w:val="en-US"/>
        </w:rPr>
        <w:t xml:space="preserve"> </w:t>
      </w:r>
      <w:r w:rsidR="00C96196">
        <w:rPr>
          <w:lang w:val="en-US"/>
        </w:rPr>
        <w:t xml:space="preserve">index </w:t>
      </w:r>
      <w:r w:rsidR="00864D30">
        <w:rPr>
          <w:lang w:val="en-US"/>
        </w:rPr>
        <w:t>in SCI</w:t>
      </w:r>
      <w:r>
        <w:rPr>
          <w:lang w:val="en-US"/>
        </w:rPr>
        <w:t>. However, only the combinations up to 16QAM are allowed</w:t>
      </w:r>
      <w:bookmarkStart w:id="3" w:name="_GoBack"/>
      <w:bookmarkEnd w:id="3"/>
    </w:p>
    <w:p w14:paraId="18AB9CAB" w14:textId="12EFEBB7" w:rsidR="00052CE9" w:rsidRPr="003810E1" w:rsidRDefault="00052CE9" w:rsidP="00052CE9">
      <w:pPr>
        <w:pStyle w:val="BodyText"/>
        <w:spacing w:after="240"/>
        <w:jc w:val="both"/>
        <w:rPr>
          <w:b/>
          <w:i/>
          <w:sz w:val="20"/>
          <w:szCs w:val="20"/>
        </w:rPr>
      </w:pPr>
      <w:r w:rsidRPr="003810E1">
        <w:rPr>
          <w:b/>
          <w:i/>
          <w:sz w:val="20"/>
          <w:szCs w:val="20"/>
        </w:rPr>
        <w:t>Proposal</w:t>
      </w:r>
      <w:r>
        <w:rPr>
          <w:b/>
          <w:i/>
          <w:sz w:val="20"/>
          <w:szCs w:val="20"/>
        </w:rPr>
        <w:t xml:space="preserve"> </w:t>
      </w:r>
      <w:r w:rsidR="00950065">
        <w:rPr>
          <w:b/>
          <w:i/>
          <w:sz w:val="20"/>
          <w:szCs w:val="20"/>
        </w:rPr>
        <w:t>2</w:t>
      </w:r>
      <w:r w:rsidRPr="003810E1">
        <w:rPr>
          <w:b/>
          <w:i/>
          <w:sz w:val="20"/>
          <w:szCs w:val="20"/>
        </w:rPr>
        <w:t xml:space="preserve">: </w:t>
      </w:r>
    </w:p>
    <w:p w14:paraId="0AA5FC87" w14:textId="77777777" w:rsidR="00052CE9" w:rsidRDefault="00052CE9" w:rsidP="00052CE9">
      <w:pPr>
        <w:pStyle w:val="BodyText"/>
        <w:numPr>
          <w:ilvl w:val="0"/>
          <w:numId w:val="17"/>
        </w:numPr>
        <w:spacing w:before="240" w:after="240"/>
        <w:jc w:val="both"/>
        <w:rPr>
          <w:b/>
          <w:i/>
          <w:sz w:val="20"/>
          <w:szCs w:val="20"/>
        </w:rPr>
      </w:pPr>
      <w:r>
        <w:rPr>
          <w:b/>
          <w:i/>
          <w:sz w:val="20"/>
          <w:szCs w:val="20"/>
        </w:rPr>
        <w:t>The MCS field in the SCI is used also for 64QAM.</w:t>
      </w:r>
    </w:p>
    <w:p w14:paraId="1CD5878F" w14:textId="77777777" w:rsidR="00052CE9" w:rsidRDefault="00052CE9" w:rsidP="00052CE9">
      <w:pPr>
        <w:pStyle w:val="BodyText"/>
        <w:spacing w:before="240" w:after="240"/>
        <w:jc w:val="both"/>
        <w:rPr>
          <w:sz w:val="20"/>
          <w:szCs w:val="20"/>
        </w:rPr>
      </w:pPr>
      <w:r>
        <w:rPr>
          <w:sz w:val="20"/>
          <w:szCs w:val="20"/>
        </w:rPr>
        <w:t>The subframe structure used for V2X transmission includes some important changes with respect to the subframe structure used in UL. For example:</w:t>
      </w:r>
    </w:p>
    <w:p w14:paraId="46BE3B7C" w14:textId="3F124A02" w:rsidR="00052CE9" w:rsidRDefault="00052CE9" w:rsidP="00052CE9">
      <w:pPr>
        <w:pStyle w:val="BodyText"/>
        <w:numPr>
          <w:ilvl w:val="0"/>
          <w:numId w:val="17"/>
        </w:numPr>
        <w:spacing w:before="240" w:after="240"/>
        <w:jc w:val="both"/>
        <w:rPr>
          <w:sz w:val="20"/>
          <w:szCs w:val="20"/>
        </w:rPr>
      </w:pPr>
      <w:r>
        <w:rPr>
          <w:sz w:val="20"/>
          <w:szCs w:val="20"/>
        </w:rPr>
        <w:t>The first OFDM symbol may be used to settle the AGC</w:t>
      </w:r>
      <w:r w:rsidR="00C96196">
        <w:rPr>
          <w:sz w:val="20"/>
          <w:szCs w:val="20"/>
        </w:rPr>
        <w:t xml:space="preserve"> for modulations up to 16QAM</w:t>
      </w:r>
      <w:r>
        <w:rPr>
          <w:sz w:val="20"/>
          <w:szCs w:val="20"/>
        </w:rPr>
        <w:t xml:space="preserve">. </w:t>
      </w:r>
      <w:r w:rsidR="00C96196">
        <w:rPr>
          <w:sz w:val="20"/>
          <w:szCs w:val="20"/>
        </w:rPr>
        <w:t>Larger values for 64QAM have been discussed in the past.</w:t>
      </w:r>
      <w:r>
        <w:rPr>
          <w:sz w:val="20"/>
          <w:szCs w:val="20"/>
        </w:rPr>
        <w:t xml:space="preserve"> </w:t>
      </w:r>
    </w:p>
    <w:p w14:paraId="0AFCE947" w14:textId="48015D93" w:rsidR="00052CE9" w:rsidRDefault="00052CE9" w:rsidP="00052CE9">
      <w:pPr>
        <w:pStyle w:val="BodyText"/>
        <w:numPr>
          <w:ilvl w:val="0"/>
          <w:numId w:val="17"/>
        </w:numPr>
        <w:spacing w:before="240" w:after="240"/>
        <w:jc w:val="both"/>
        <w:rPr>
          <w:sz w:val="20"/>
          <w:szCs w:val="20"/>
        </w:rPr>
      </w:pPr>
      <w:r>
        <w:rPr>
          <w:sz w:val="20"/>
          <w:szCs w:val="20"/>
        </w:rPr>
        <w:t>The nu</w:t>
      </w:r>
      <w:r w:rsidR="001348D5">
        <w:rPr>
          <w:sz w:val="20"/>
          <w:szCs w:val="20"/>
        </w:rPr>
        <w:t>mber of OFDM symbols use for DM</w:t>
      </w:r>
      <w:r>
        <w:rPr>
          <w:sz w:val="20"/>
          <w:szCs w:val="20"/>
        </w:rPr>
        <w:t>RS is 4.</w:t>
      </w:r>
    </w:p>
    <w:p w14:paraId="238E0B7B" w14:textId="77777777" w:rsidR="00052CE9" w:rsidRDefault="00052CE9" w:rsidP="00052CE9">
      <w:pPr>
        <w:pStyle w:val="BodyText"/>
        <w:numPr>
          <w:ilvl w:val="0"/>
          <w:numId w:val="17"/>
        </w:numPr>
        <w:spacing w:before="240" w:after="240"/>
        <w:jc w:val="both"/>
        <w:rPr>
          <w:sz w:val="20"/>
          <w:szCs w:val="20"/>
        </w:rPr>
      </w:pPr>
      <w:r>
        <w:rPr>
          <w:sz w:val="20"/>
          <w:szCs w:val="20"/>
        </w:rPr>
        <w:t>The last symbol is not transmitted (GP).</w:t>
      </w:r>
    </w:p>
    <w:p w14:paraId="1B5B3A7D" w14:textId="3C3C02B4" w:rsidR="00052CE9" w:rsidRDefault="00C96196" w:rsidP="00C96196">
      <w:pPr>
        <w:pStyle w:val="BodyText"/>
        <w:spacing w:before="240" w:after="240"/>
        <w:jc w:val="both"/>
        <w:rPr>
          <w:sz w:val="20"/>
          <w:szCs w:val="20"/>
        </w:rPr>
      </w:pPr>
      <w:r>
        <w:rPr>
          <w:sz w:val="20"/>
          <w:szCs w:val="20"/>
        </w:rPr>
        <w:t xml:space="preserve">The overhead associated with these symbols results in an increase of coding rate. </w:t>
      </w:r>
      <w:r w:rsidR="00052CE9">
        <w:rPr>
          <w:sz w:val="20"/>
          <w:szCs w:val="20"/>
        </w:rPr>
        <w:t xml:space="preserve"> </w:t>
      </w:r>
      <w:r>
        <w:rPr>
          <w:sz w:val="20"/>
          <w:szCs w:val="20"/>
        </w:rPr>
        <w:t>As a consequence, f</w:t>
      </w:r>
      <w:r w:rsidR="00052CE9">
        <w:rPr>
          <w:sz w:val="20"/>
          <w:szCs w:val="20"/>
        </w:rPr>
        <w:t xml:space="preserve">or 64QAM some TBS values are associated with coding rates above 0.93 or even 1. </w:t>
      </w:r>
      <w:r>
        <w:rPr>
          <w:sz w:val="20"/>
          <w:szCs w:val="20"/>
        </w:rPr>
        <w:t xml:space="preserve">We believe that these assumptions should be revised, </w:t>
      </w:r>
      <w:r w:rsidR="00052CE9">
        <w:rPr>
          <w:sz w:val="20"/>
          <w:szCs w:val="20"/>
        </w:rPr>
        <w:t>possibly in coordination with other groups</w:t>
      </w:r>
      <w:r>
        <w:rPr>
          <w:sz w:val="20"/>
          <w:szCs w:val="20"/>
        </w:rPr>
        <w:t xml:space="preserve">, to reduce the </w:t>
      </w:r>
      <w:r w:rsidR="00052CE9">
        <w:rPr>
          <w:sz w:val="20"/>
          <w:szCs w:val="20"/>
        </w:rPr>
        <w:t xml:space="preserve">loss in coding rate. </w:t>
      </w:r>
      <w:r>
        <w:rPr>
          <w:sz w:val="20"/>
          <w:szCs w:val="20"/>
        </w:rPr>
        <w:t xml:space="preserve">In the companion contribution </w:t>
      </w:r>
      <w:r>
        <w:rPr>
          <w:sz w:val="20"/>
          <w:szCs w:val="20"/>
        </w:rPr>
        <w:fldChar w:fldCharType="begin"/>
      </w:r>
      <w:r>
        <w:rPr>
          <w:sz w:val="20"/>
          <w:szCs w:val="20"/>
        </w:rPr>
        <w:instrText xml:space="preserve"> REF _Ref478135027 \r \h </w:instrText>
      </w:r>
      <w:r>
        <w:rPr>
          <w:sz w:val="20"/>
          <w:szCs w:val="20"/>
        </w:rPr>
      </w:r>
      <w:r>
        <w:rPr>
          <w:sz w:val="20"/>
          <w:szCs w:val="20"/>
        </w:rPr>
        <w:fldChar w:fldCharType="separate"/>
      </w:r>
      <w:r>
        <w:rPr>
          <w:sz w:val="20"/>
          <w:szCs w:val="20"/>
        </w:rPr>
        <w:t>[6]</w:t>
      </w:r>
      <w:r>
        <w:rPr>
          <w:sz w:val="20"/>
          <w:szCs w:val="20"/>
        </w:rPr>
        <w:fldChar w:fldCharType="end"/>
      </w:r>
      <w:r>
        <w:rPr>
          <w:sz w:val="20"/>
          <w:szCs w:val="20"/>
        </w:rPr>
        <w:t xml:space="preserve"> we discuss how to reduce the overhead associated with AGC symbol and GP symbols. </w:t>
      </w:r>
      <w:r w:rsidR="00052CE9">
        <w:rPr>
          <w:sz w:val="20"/>
          <w:szCs w:val="20"/>
        </w:rPr>
        <w:t>In addition, RAN1 has to define a new table of TBS values.</w:t>
      </w:r>
    </w:p>
    <w:p w14:paraId="15DF87DB" w14:textId="77777777" w:rsidR="00052CE9" w:rsidRPr="003810E1" w:rsidRDefault="00052CE9" w:rsidP="00052CE9">
      <w:pPr>
        <w:pStyle w:val="BodyText"/>
        <w:spacing w:after="240"/>
        <w:jc w:val="both"/>
        <w:rPr>
          <w:b/>
          <w:i/>
          <w:sz w:val="20"/>
          <w:szCs w:val="20"/>
        </w:rPr>
      </w:pPr>
      <w:r>
        <w:rPr>
          <w:b/>
          <w:i/>
          <w:sz w:val="20"/>
          <w:szCs w:val="20"/>
        </w:rPr>
        <w:t>Observation 1</w:t>
      </w:r>
      <w:r w:rsidRPr="003810E1">
        <w:rPr>
          <w:b/>
          <w:i/>
          <w:sz w:val="20"/>
          <w:szCs w:val="20"/>
        </w:rPr>
        <w:t xml:space="preserve">: </w:t>
      </w:r>
    </w:p>
    <w:p w14:paraId="3B6BAA1C" w14:textId="26FDE622" w:rsidR="00052CE9" w:rsidRDefault="001348D5" w:rsidP="00052CE9">
      <w:pPr>
        <w:pStyle w:val="BodyText"/>
        <w:numPr>
          <w:ilvl w:val="0"/>
          <w:numId w:val="17"/>
        </w:numPr>
        <w:spacing w:before="240" w:after="240"/>
        <w:jc w:val="both"/>
        <w:rPr>
          <w:b/>
          <w:i/>
          <w:sz w:val="20"/>
          <w:szCs w:val="20"/>
        </w:rPr>
      </w:pPr>
      <w:r>
        <w:rPr>
          <w:b/>
          <w:i/>
          <w:sz w:val="20"/>
          <w:szCs w:val="20"/>
        </w:rPr>
        <w:t>For 64</w:t>
      </w:r>
      <w:r w:rsidR="00052CE9">
        <w:rPr>
          <w:b/>
          <w:i/>
          <w:sz w:val="20"/>
          <w:szCs w:val="20"/>
        </w:rPr>
        <w:t>QAM, the resulting code rate may exceed 0.93 or even 1</w:t>
      </w:r>
      <w:r w:rsidR="00B41145">
        <w:rPr>
          <w:b/>
          <w:i/>
          <w:sz w:val="20"/>
          <w:szCs w:val="20"/>
        </w:rPr>
        <w:t xml:space="preserve"> for some entries in the TBS table</w:t>
      </w:r>
      <w:r w:rsidR="00052CE9">
        <w:rPr>
          <w:b/>
          <w:i/>
          <w:sz w:val="20"/>
          <w:szCs w:val="20"/>
        </w:rPr>
        <w:t>.</w:t>
      </w:r>
    </w:p>
    <w:p w14:paraId="2C69CDF0" w14:textId="430C19DB" w:rsidR="00052CE9" w:rsidRPr="003810E1" w:rsidRDefault="00052CE9" w:rsidP="00052CE9">
      <w:pPr>
        <w:pStyle w:val="BodyText"/>
        <w:spacing w:after="240"/>
        <w:jc w:val="both"/>
        <w:rPr>
          <w:b/>
          <w:i/>
          <w:sz w:val="20"/>
          <w:szCs w:val="20"/>
        </w:rPr>
      </w:pPr>
      <w:r w:rsidRPr="003810E1">
        <w:rPr>
          <w:b/>
          <w:i/>
          <w:sz w:val="20"/>
          <w:szCs w:val="20"/>
        </w:rPr>
        <w:t>Proposal</w:t>
      </w:r>
      <w:r>
        <w:rPr>
          <w:b/>
          <w:i/>
          <w:sz w:val="20"/>
          <w:szCs w:val="20"/>
        </w:rPr>
        <w:t xml:space="preserve"> </w:t>
      </w:r>
      <w:r w:rsidR="00950065">
        <w:rPr>
          <w:b/>
          <w:i/>
          <w:sz w:val="20"/>
          <w:szCs w:val="20"/>
        </w:rPr>
        <w:t>3</w:t>
      </w:r>
      <w:r w:rsidRPr="003810E1">
        <w:rPr>
          <w:b/>
          <w:i/>
          <w:sz w:val="20"/>
          <w:szCs w:val="20"/>
        </w:rPr>
        <w:t xml:space="preserve">: </w:t>
      </w:r>
    </w:p>
    <w:p w14:paraId="720E3AE3" w14:textId="68339D72" w:rsidR="00052CE9" w:rsidRDefault="00052CE9" w:rsidP="00052CE9">
      <w:pPr>
        <w:pStyle w:val="BodyText"/>
        <w:numPr>
          <w:ilvl w:val="0"/>
          <w:numId w:val="17"/>
        </w:numPr>
        <w:spacing w:before="240" w:after="240"/>
        <w:jc w:val="both"/>
        <w:rPr>
          <w:b/>
          <w:i/>
          <w:sz w:val="20"/>
          <w:szCs w:val="20"/>
        </w:rPr>
      </w:pPr>
      <w:r>
        <w:rPr>
          <w:b/>
          <w:i/>
          <w:sz w:val="20"/>
          <w:szCs w:val="20"/>
        </w:rPr>
        <w:t xml:space="preserve">Send an LS to RAN4 </w:t>
      </w:r>
      <w:r w:rsidR="00B251FD">
        <w:rPr>
          <w:b/>
          <w:i/>
          <w:sz w:val="20"/>
          <w:szCs w:val="20"/>
        </w:rPr>
        <w:t>on the feasibility of shorter</w:t>
      </w:r>
      <w:r>
        <w:rPr>
          <w:b/>
          <w:i/>
          <w:sz w:val="20"/>
          <w:szCs w:val="20"/>
        </w:rPr>
        <w:t>AGC settling interval for 64QAM.</w:t>
      </w:r>
    </w:p>
    <w:p w14:paraId="26F61A57" w14:textId="77777777" w:rsidR="00052CE9" w:rsidRDefault="00052CE9" w:rsidP="00052CE9">
      <w:pPr>
        <w:pStyle w:val="BodyText"/>
        <w:numPr>
          <w:ilvl w:val="0"/>
          <w:numId w:val="17"/>
        </w:numPr>
        <w:spacing w:before="240" w:after="240"/>
        <w:jc w:val="both"/>
        <w:rPr>
          <w:b/>
          <w:i/>
          <w:sz w:val="20"/>
          <w:szCs w:val="20"/>
        </w:rPr>
      </w:pPr>
      <w:r>
        <w:rPr>
          <w:b/>
          <w:i/>
          <w:sz w:val="20"/>
          <w:szCs w:val="20"/>
        </w:rPr>
        <w:t>RAN1 to revise the duration of the AGC settling period and the Guard Period.</w:t>
      </w:r>
    </w:p>
    <w:p w14:paraId="39A7446C" w14:textId="6F9AA104" w:rsidR="00B251FD" w:rsidRPr="0081221C" w:rsidRDefault="00052CE9" w:rsidP="00EB01E4">
      <w:pPr>
        <w:pStyle w:val="BodyText"/>
        <w:numPr>
          <w:ilvl w:val="0"/>
          <w:numId w:val="17"/>
        </w:numPr>
        <w:spacing w:before="240" w:after="240"/>
        <w:jc w:val="both"/>
        <w:rPr>
          <w:sz w:val="20"/>
          <w:szCs w:val="20"/>
        </w:rPr>
      </w:pPr>
      <w:r>
        <w:rPr>
          <w:b/>
          <w:i/>
          <w:sz w:val="20"/>
          <w:szCs w:val="20"/>
        </w:rPr>
        <w:t>RAN1 to introduce a new TBS table for 64QAM (Details FFS).</w:t>
      </w:r>
    </w:p>
    <w:p w14:paraId="56A43399" w14:textId="77777777" w:rsidR="00052CE9" w:rsidRDefault="00052CE9" w:rsidP="00052CE9">
      <w:pPr>
        <w:pStyle w:val="Heading2"/>
      </w:pPr>
      <w:r>
        <w:t>Receiver requirements</w:t>
      </w:r>
    </w:p>
    <w:p w14:paraId="745C6067" w14:textId="1B553D86" w:rsidR="00052CE9" w:rsidRDefault="00052CE9" w:rsidP="00052CE9">
      <w:pPr>
        <w:rPr>
          <w:lang w:val="en-US"/>
        </w:rPr>
      </w:pPr>
      <w:r>
        <w:rPr>
          <w:lang w:val="en-US"/>
        </w:rPr>
        <w:t>The current specification captures the minimum decoding requirements for a UE under the assumption that only QPSK and 16QAM are supported.</w:t>
      </w:r>
    </w:p>
    <w:p w14:paraId="16EB37DF" w14:textId="7A468F07" w:rsidR="00052CE9" w:rsidRPr="003810E1" w:rsidRDefault="00052CE9" w:rsidP="00052CE9">
      <w:pPr>
        <w:pStyle w:val="BodyText"/>
        <w:spacing w:after="240"/>
        <w:jc w:val="both"/>
        <w:rPr>
          <w:b/>
          <w:i/>
          <w:sz w:val="20"/>
          <w:szCs w:val="20"/>
        </w:rPr>
      </w:pPr>
      <w:r w:rsidRPr="003810E1">
        <w:rPr>
          <w:b/>
          <w:i/>
          <w:sz w:val="20"/>
          <w:szCs w:val="20"/>
        </w:rPr>
        <w:t>Proposal</w:t>
      </w:r>
      <w:r>
        <w:rPr>
          <w:b/>
          <w:i/>
          <w:sz w:val="20"/>
          <w:szCs w:val="20"/>
        </w:rPr>
        <w:t xml:space="preserve"> </w:t>
      </w:r>
      <w:r w:rsidR="00950065">
        <w:rPr>
          <w:b/>
          <w:i/>
          <w:sz w:val="20"/>
          <w:szCs w:val="20"/>
        </w:rPr>
        <w:t>4</w:t>
      </w:r>
      <w:r w:rsidRPr="003810E1">
        <w:rPr>
          <w:b/>
          <w:i/>
          <w:sz w:val="20"/>
          <w:szCs w:val="20"/>
        </w:rPr>
        <w:t xml:space="preserve">: </w:t>
      </w:r>
    </w:p>
    <w:p w14:paraId="58CB2194" w14:textId="77777777" w:rsidR="00052CE9" w:rsidRDefault="00052CE9" w:rsidP="00052CE9">
      <w:pPr>
        <w:pStyle w:val="BodyText"/>
        <w:numPr>
          <w:ilvl w:val="0"/>
          <w:numId w:val="17"/>
        </w:numPr>
        <w:spacing w:before="240" w:after="240"/>
        <w:jc w:val="both"/>
        <w:rPr>
          <w:b/>
          <w:i/>
          <w:sz w:val="20"/>
          <w:szCs w:val="20"/>
        </w:rPr>
      </w:pPr>
      <w:r>
        <w:rPr>
          <w:b/>
          <w:i/>
          <w:sz w:val="20"/>
          <w:szCs w:val="20"/>
        </w:rPr>
        <w:t xml:space="preserve">RAN1 to revise the minimum decoding requirements. </w:t>
      </w:r>
    </w:p>
    <w:p w14:paraId="3C4455C8" w14:textId="37DB6028" w:rsidR="00706C19" w:rsidRDefault="00706C19" w:rsidP="00706C19">
      <w:pPr>
        <w:pStyle w:val="Heading1"/>
      </w:pPr>
      <w:r w:rsidRPr="00744368">
        <w:t xml:space="preserve">Conclusion </w:t>
      </w:r>
    </w:p>
    <w:p w14:paraId="6AFED881" w14:textId="4ED4CE9D" w:rsidR="00950065" w:rsidRDefault="00950065" w:rsidP="009B50BD">
      <w:pPr>
        <w:jc w:val="both"/>
        <w:rPr>
          <w:lang w:val="en-US" w:eastAsia="zh-CN"/>
        </w:rPr>
      </w:pPr>
      <w:r>
        <w:rPr>
          <w:lang w:val="en-US" w:eastAsia="zh-CN"/>
        </w:rPr>
        <w:t xml:space="preserve">In this paper we have </w:t>
      </w:r>
      <w:r w:rsidR="00F05F35">
        <w:rPr>
          <w:lang w:val="en-US" w:eastAsia="zh-CN"/>
        </w:rPr>
        <w:t xml:space="preserve">discussed the introduction of support for 64QAM for V2X. We have </w:t>
      </w:r>
      <w:r>
        <w:rPr>
          <w:lang w:val="en-US" w:eastAsia="zh-CN"/>
        </w:rPr>
        <w:t>observed and proposed the following:</w:t>
      </w:r>
    </w:p>
    <w:p w14:paraId="1FAF2241" w14:textId="77777777" w:rsidR="00F05F35" w:rsidRDefault="00F05F35" w:rsidP="00F05F35">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1CC1E64A" w14:textId="7412FFC7" w:rsidR="00F05F35" w:rsidRPr="00760007" w:rsidRDefault="00760007">
      <w:pPr>
        <w:pStyle w:val="BodyText"/>
        <w:numPr>
          <w:ilvl w:val="0"/>
          <w:numId w:val="41"/>
        </w:numPr>
        <w:spacing w:after="240"/>
        <w:jc w:val="both"/>
        <w:rPr>
          <w:b/>
          <w:i/>
          <w:sz w:val="20"/>
          <w:szCs w:val="20"/>
        </w:rPr>
      </w:pPr>
      <w:r>
        <w:rPr>
          <w:b/>
          <w:i/>
          <w:sz w:val="20"/>
          <w:szCs w:val="20"/>
        </w:rPr>
        <w:t>RAN1 to study the performance of 64QAM under existing assumptions, including the specific pool configuration characteristic and congestion control procedures.</w:t>
      </w:r>
    </w:p>
    <w:p w14:paraId="492A2763" w14:textId="77777777" w:rsidR="00F05F35" w:rsidRPr="003810E1" w:rsidRDefault="00F05F35" w:rsidP="00F05F35">
      <w:pPr>
        <w:pStyle w:val="BodyText"/>
        <w:spacing w:after="240"/>
        <w:jc w:val="both"/>
        <w:rPr>
          <w:b/>
          <w:i/>
          <w:sz w:val="20"/>
          <w:szCs w:val="20"/>
        </w:rPr>
      </w:pPr>
      <w:r w:rsidRPr="003810E1">
        <w:rPr>
          <w:b/>
          <w:i/>
          <w:sz w:val="20"/>
          <w:szCs w:val="20"/>
        </w:rPr>
        <w:t>Proposal</w:t>
      </w:r>
      <w:r>
        <w:rPr>
          <w:b/>
          <w:i/>
          <w:sz w:val="20"/>
          <w:szCs w:val="20"/>
        </w:rPr>
        <w:t xml:space="preserve"> 2</w:t>
      </w:r>
      <w:r w:rsidRPr="003810E1">
        <w:rPr>
          <w:b/>
          <w:i/>
          <w:sz w:val="20"/>
          <w:szCs w:val="20"/>
        </w:rPr>
        <w:t xml:space="preserve">: </w:t>
      </w:r>
    </w:p>
    <w:p w14:paraId="7135E105" w14:textId="77777777" w:rsidR="00F05F35" w:rsidRDefault="00F05F35" w:rsidP="00F05F35">
      <w:pPr>
        <w:pStyle w:val="BodyText"/>
        <w:numPr>
          <w:ilvl w:val="0"/>
          <w:numId w:val="41"/>
        </w:numPr>
        <w:spacing w:before="240" w:after="240"/>
        <w:jc w:val="both"/>
        <w:rPr>
          <w:b/>
          <w:i/>
          <w:sz w:val="20"/>
          <w:szCs w:val="20"/>
        </w:rPr>
      </w:pPr>
      <w:r>
        <w:rPr>
          <w:b/>
          <w:i/>
          <w:sz w:val="20"/>
          <w:szCs w:val="20"/>
        </w:rPr>
        <w:t>The MCS field in the SCI is used also for 64QAM.</w:t>
      </w:r>
    </w:p>
    <w:p w14:paraId="2CE3B9ED" w14:textId="77777777" w:rsidR="00F05F35" w:rsidRPr="003810E1" w:rsidRDefault="00F05F35" w:rsidP="00F05F35">
      <w:pPr>
        <w:pStyle w:val="BodyText"/>
        <w:spacing w:after="240"/>
        <w:jc w:val="both"/>
        <w:rPr>
          <w:b/>
          <w:i/>
          <w:sz w:val="20"/>
          <w:szCs w:val="20"/>
        </w:rPr>
      </w:pPr>
      <w:r>
        <w:rPr>
          <w:b/>
          <w:i/>
          <w:sz w:val="20"/>
          <w:szCs w:val="20"/>
        </w:rPr>
        <w:t>Observation 1</w:t>
      </w:r>
      <w:r w:rsidRPr="003810E1">
        <w:rPr>
          <w:b/>
          <w:i/>
          <w:sz w:val="20"/>
          <w:szCs w:val="20"/>
        </w:rPr>
        <w:t xml:space="preserve">: </w:t>
      </w:r>
    </w:p>
    <w:p w14:paraId="376090FD" w14:textId="77777777" w:rsidR="00F05F35" w:rsidRDefault="00F05F35" w:rsidP="00F05F35">
      <w:pPr>
        <w:pStyle w:val="BodyText"/>
        <w:numPr>
          <w:ilvl w:val="0"/>
          <w:numId w:val="17"/>
        </w:numPr>
        <w:spacing w:before="240" w:after="240"/>
        <w:jc w:val="both"/>
        <w:rPr>
          <w:b/>
          <w:i/>
          <w:sz w:val="20"/>
          <w:szCs w:val="20"/>
        </w:rPr>
      </w:pPr>
      <w:r>
        <w:rPr>
          <w:b/>
          <w:i/>
          <w:sz w:val="20"/>
          <w:szCs w:val="20"/>
        </w:rPr>
        <w:t>For 64QAM, the resulting code rate may exceed 0.93 or even 1.</w:t>
      </w:r>
    </w:p>
    <w:p w14:paraId="0EA7163A" w14:textId="77777777" w:rsidR="00F05F35" w:rsidRPr="003810E1" w:rsidRDefault="00F05F35" w:rsidP="00F05F35">
      <w:pPr>
        <w:pStyle w:val="BodyText"/>
        <w:spacing w:after="240"/>
        <w:jc w:val="both"/>
        <w:rPr>
          <w:b/>
          <w:i/>
          <w:sz w:val="20"/>
          <w:szCs w:val="20"/>
        </w:rPr>
      </w:pPr>
      <w:r w:rsidRPr="003810E1">
        <w:rPr>
          <w:b/>
          <w:i/>
          <w:sz w:val="20"/>
          <w:szCs w:val="20"/>
        </w:rPr>
        <w:t>Proposal</w:t>
      </w:r>
      <w:r>
        <w:rPr>
          <w:b/>
          <w:i/>
          <w:sz w:val="20"/>
          <w:szCs w:val="20"/>
        </w:rPr>
        <w:t xml:space="preserve"> 3</w:t>
      </w:r>
      <w:r w:rsidRPr="003810E1">
        <w:rPr>
          <w:b/>
          <w:i/>
          <w:sz w:val="20"/>
          <w:szCs w:val="20"/>
        </w:rPr>
        <w:t xml:space="preserve">: </w:t>
      </w:r>
    </w:p>
    <w:p w14:paraId="3B0C5A28" w14:textId="77777777" w:rsidR="00F05F35" w:rsidRDefault="00F05F35" w:rsidP="00F05F35">
      <w:pPr>
        <w:pStyle w:val="BodyText"/>
        <w:numPr>
          <w:ilvl w:val="0"/>
          <w:numId w:val="17"/>
        </w:numPr>
        <w:spacing w:before="240" w:after="240"/>
        <w:jc w:val="both"/>
        <w:rPr>
          <w:b/>
          <w:i/>
          <w:sz w:val="20"/>
          <w:szCs w:val="20"/>
        </w:rPr>
      </w:pPr>
      <w:r>
        <w:rPr>
          <w:b/>
          <w:i/>
          <w:sz w:val="20"/>
          <w:szCs w:val="20"/>
        </w:rPr>
        <w:lastRenderedPageBreak/>
        <w:t>Send an LS to RAN4 requesting input on the requirements for AGC settling interval for 64QAM.</w:t>
      </w:r>
    </w:p>
    <w:p w14:paraId="63EB7504" w14:textId="77777777" w:rsidR="00F05F35" w:rsidRDefault="00F05F35" w:rsidP="00F05F35">
      <w:pPr>
        <w:pStyle w:val="BodyText"/>
        <w:numPr>
          <w:ilvl w:val="0"/>
          <w:numId w:val="17"/>
        </w:numPr>
        <w:spacing w:before="240" w:after="240"/>
        <w:jc w:val="both"/>
        <w:rPr>
          <w:b/>
          <w:i/>
          <w:sz w:val="20"/>
          <w:szCs w:val="20"/>
        </w:rPr>
      </w:pPr>
      <w:r>
        <w:rPr>
          <w:b/>
          <w:i/>
          <w:sz w:val="20"/>
          <w:szCs w:val="20"/>
        </w:rPr>
        <w:t>RAN1 to revise the duration of the AGC settling period and the Guard Period.</w:t>
      </w:r>
    </w:p>
    <w:p w14:paraId="5AF4F50A" w14:textId="77777777" w:rsidR="00F05F35" w:rsidRDefault="00F05F35" w:rsidP="00F05F35">
      <w:pPr>
        <w:pStyle w:val="BodyText"/>
        <w:numPr>
          <w:ilvl w:val="0"/>
          <w:numId w:val="17"/>
        </w:numPr>
        <w:spacing w:before="240" w:after="240"/>
        <w:jc w:val="both"/>
        <w:rPr>
          <w:b/>
          <w:i/>
          <w:sz w:val="20"/>
          <w:szCs w:val="20"/>
        </w:rPr>
      </w:pPr>
      <w:r>
        <w:rPr>
          <w:b/>
          <w:i/>
          <w:sz w:val="20"/>
          <w:szCs w:val="20"/>
        </w:rPr>
        <w:t>RAN1 to introduce a new TBS table for 64QAM (Details FFS).</w:t>
      </w:r>
    </w:p>
    <w:p w14:paraId="7A9CBB17" w14:textId="77777777" w:rsidR="00F05F35" w:rsidRPr="003810E1" w:rsidRDefault="00F05F35" w:rsidP="00F05F35">
      <w:pPr>
        <w:pStyle w:val="BodyText"/>
        <w:spacing w:after="240"/>
        <w:jc w:val="both"/>
        <w:rPr>
          <w:b/>
          <w:i/>
          <w:sz w:val="20"/>
          <w:szCs w:val="20"/>
        </w:rPr>
      </w:pPr>
      <w:r w:rsidRPr="003810E1">
        <w:rPr>
          <w:b/>
          <w:i/>
          <w:sz w:val="20"/>
          <w:szCs w:val="20"/>
        </w:rPr>
        <w:t>Proposal</w:t>
      </w:r>
      <w:r>
        <w:rPr>
          <w:b/>
          <w:i/>
          <w:sz w:val="20"/>
          <w:szCs w:val="20"/>
        </w:rPr>
        <w:t xml:space="preserve"> 4</w:t>
      </w:r>
      <w:r w:rsidRPr="003810E1">
        <w:rPr>
          <w:b/>
          <w:i/>
          <w:sz w:val="20"/>
          <w:szCs w:val="20"/>
        </w:rPr>
        <w:t xml:space="preserve">: </w:t>
      </w:r>
    </w:p>
    <w:p w14:paraId="69C26D9E" w14:textId="77777777" w:rsidR="00F05F35" w:rsidRDefault="00F05F35" w:rsidP="00F05F35">
      <w:pPr>
        <w:pStyle w:val="BodyText"/>
        <w:numPr>
          <w:ilvl w:val="0"/>
          <w:numId w:val="17"/>
        </w:numPr>
        <w:spacing w:before="240" w:after="240"/>
        <w:jc w:val="both"/>
        <w:rPr>
          <w:b/>
          <w:i/>
          <w:sz w:val="20"/>
          <w:szCs w:val="20"/>
        </w:rPr>
      </w:pPr>
      <w:r>
        <w:rPr>
          <w:b/>
          <w:i/>
          <w:sz w:val="20"/>
          <w:szCs w:val="20"/>
        </w:rPr>
        <w:t xml:space="preserve">RAN1 to revise the minimum decoding requirements. </w:t>
      </w:r>
    </w:p>
    <w:p w14:paraId="5036C165" w14:textId="77777777" w:rsidR="00706C19" w:rsidRPr="00DA1475" w:rsidRDefault="00706C19" w:rsidP="00706C19">
      <w:pPr>
        <w:pStyle w:val="Heading1"/>
      </w:pPr>
      <w:r w:rsidRPr="00DA1475">
        <w:t>Reference</w:t>
      </w:r>
    </w:p>
    <w:p w14:paraId="25661003" w14:textId="55EFCF9F" w:rsidR="0034705A" w:rsidRPr="0034705A" w:rsidRDefault="0034705A" w:rsidP="007B7D1E">
      <w:pPr>
        <w:pStyle w:val="ListParagraph"/>
        <w:ind w:left="567"/>
        <w:rPr>
          <w:rFonts w:ascii="Times New Roman" w:hAnsi="Times New Roman" w:cs="Times New Roman"/>
          <w:color w:val="312E25"/>
          <w:sz w:val="20"/>
          <w:szCs w:val="20"/>
          <w:highlight w:val="yellow"/>
          <w:lang w:eastAsia="sv-SE"/>
        </w:rPr>
      </w:pPr>
      <w:bookmarkStart w:id="4" w:name="_Ref462922309"/>
      <w:bookmarkStart w:id="5" w:name="_Ref450915949"/>
    </w:p>
    <w:p w14:paraId="17E07803" w14:textId="689CB8CD" w:rsidR="007B7D1E" w:rsidRPr="007B7D1E" w:rsidRDefault="007B7D1E" w:rsidP="00082BCD">
      <w:pPr>
        <w:pStyle w:val="ListParagraph"/>
        <w:numPr>
          <w:ilvl w:val="0"/>
          <w:numId w:val="9"/>
        </w:numPr>
        <w:ind w:left="567" w:hanging="425"/>
        <w:rPr>
          <w:rFonts w:ascii="Times New Roman" w:hAnsi="Times New Roman" w:cs="Times New Roman"/>
          <w:color w:val="312E25"/>
          <w:sz w:val="20"/>
          <w:szCs w:val="20"/>
          <w:lang w:eastAsia="sv-SE"/>
        </w:rPr>
      </w:pPr>
      <w:bookmarkStart w:id="6" w:name="_Ref474795956"/>
      <w:bookmarkStart w:id="7" w:name="_Ref477334379"/>
      <w:r w:rsidRPr="007B7D1E">
        <w:rPr>
          <w:rFonts w:ascii="Times New Roman" w:hAnsi="Times New Roman" w:cs="Times New Roman"/>
          <w:color w:val="312E25"/>
          <w:sz w:val="20"/>
          <w:szCs w:val="20"/>
          <w:lang w:eastAsia="sv-SE"/>
        </w:rPr>
        <w:t>TS 36.302 V14.1.0, “Services provided by the physical layer (Release 14)</w:t>
      </w:r>
      <w:bookmarkEnd w:id="6"/>
      <w:r w:rsidRPr="007B7D1E">
        <w:rPr>
          <w:rFonts w:ascii="Times New Roman" w:hAnsi="Times New Roman" w:cs="Times New Roman"/>
          <w:color w:val="312E25"/>
          <w:sz w:val="20"/>
          <w:szCs w:val="20"/>
          <w:lang w:eastAsia="sv-SE"/>
        </w:rPr>
        <w:t>.</w:t>
      </w:r>
    </w:p>
    <w:p w14:paraId="796D2E03" w14:textId="031ACC07" w:rsidR="0002716F" w:rsidRDefault="0002716F" w:rsidP="00E92726">
      <w:pPr>
        <w:pStyle w:val="ListParagraph"/>
        <w:numPr>
          <w:ilvl w:val="0"/>
          <w:numId w:val="9"/>
        </w:numPr>
        <w:ind w:left="567" w:hanging="425"/>
        <w:rPr>
          <w:rFonts w:ascii="Times New Roman" w:hAnsi="Times New Roman" w:cs="Times New Roman"/>
          <w:color w:val="312E25"/>
          <w:sz w:val="20"/>
          <w:szCs w:val="20"/>
          <w:lang w:eastAsia="sv-SE"/>
        </w:rPr>
      </w:pPr>
      <w:bookmarkStart w:id="8" w:name="_Ref478047449"/>
      <w:bookmarkEnd w:id="7"/>
      <w:r w:rsidRPr="003707FC">
        <w:rPr>
          <w:rFonts w:ascii="Times New Roman" w:hAnsi="Times New Roman" w:cs="Times New Roman"/>
          <w:color w:val="312E25"/>
          <w:sz w:val="20"/>
          <w:szCs w:val="20"/>
          <w:lang w:eastAsia="sv-SE"/>
        </w:rPr>
        <w:t>RP-170798</w:t>
      </w:r>
      <w:r>
        <w:rPr>
          <w:rFonts w:ascii="Times New Roman" w:hAnsi="Times New Roman" w:cs="Times New Roman"/>
          <w:color w:val="312E25"/>
          <w:sz w:val="20"/>
          <w:szCs w:val="20"/>
          <w:lang w:eastAsia="sv-SE"/>
        </w:rPr>
        <w:t>, “</w:t>
      </w:r>
      <w:r w:rsidRPr="003707FC">
        <w:rPr>
          <w:rFonts w:ascii="Times New Roman" w:hAnsi="Times New Roman" w:cs="Times New Roman"/>
          <w:color w:val="312E25"/>
          <w:sz w:val="20"/>
          <w:szCs w:val="20"/>
          <w:lang w:eastAsia="sv-SE"/>
        </w:rPr>
        <w:t>New WID on 3GPP V2X Phase 2</w:t>
      </w:r>
      <w:r>
        <w:rPr>
          <w:rFonts w:ascii="Times New Roman" w:hAnsi="Times New Roman" w:cs="Times New Roman"/>
          <w:color w:val="312E25"/>
          <w:sz w:val="20"/>
          <w:szCs w:val="20"/>
          <w:lang w:eastAsia="sv-SE"/>
        </w:rPr>
        <w:t>”</w:t>
      </w:r>
      <w:bookmarkEnd w:id="8"/>
      <w:r w:rsidR="00945C63">
        <w:rPr>
          <w:rFonts w:ascii="Times New Roman" w:hAnsi="Times New Roman" w:cs="Times New Roman"/>
          <w:color w:val="312E25"/>
          <w:sz w:val="20"/>
          <w:szCs w:val="20"/>
          <w:lang w:eastAsia="sv-SE"/>
        </w:rPr>
        <w:t>.</w:t>
      </w:r>
    </w:p>
    <w:p w14:paraId="3611D1E8" w14:textId="1DCBE94B" w:rsidR="00AF6F2D" w:rsidRDefault="00AF6F2D" w:rsidP="00E92726">
      <w:pPr>
        <w:pStyle w:val="ListParagraph"/>
        <w:numPr>
          <w:ilvl w:val="0"/>
          <w:numId w:val="9"/>
        </w:numPr>
        <w:ind w:left="567" w:hanging="425"/>
        <w:rPr>
          <w:rFonts w:ascii="Times New Roman" w:hAnsi="Times New Roman" w:cs="Times New Roman"/>
          <w:color w:val="312E25"/>
          <w:sz w:val="20"/>
          <w:szCs w:val="20"/>
          <w:lang w:eastAsia="sv-SE"/>
        </w:rPr>
      </w:pPr>
      <w:bookmarkStart w:id="9" w:name="_Ref478123183"/>
      <w:r w:rsidRPr="00AF6F2D">
        <w:rPr>
          <w:rFonts w:ascii="Times New Roman" w:hAnsi="Times New Roman" w:cs="Times New Roman"/>
          <w:color w:val="312E25"/>
          <w:sz w:val="20"/>
          <w:szCs w:val="20"/>
          <w:lang w:eastAsia="sv-SE"/>
        </w:rPr>
        <w:t>R1-1705784</w:t>
      </w:r>
      <w:r>
        <w:rPr>
          <w:rFonts w:ascii="Times New Roman" w:hAnsi="Times New Roman" w:cs="Times New Roman"/>
          <w:color w:val="312E25"/>
          <w:sz w:val="20"/>
          <w:szCs w:val="20"/>
          <w:lang w:eastAsia="sv-SE"/>
        </w:rPr>
        <w:t>, “</w:t>
      </w:r>
      <w:r w:rsidRPr="00AF6F2D">
        <w:rPr>
          <w:rFonts w:ascii="Times New Roman" w:hAnsi="Times New Roman" w:cs="Times New Roman"/>
          <w:color w:val="312E25"/>
          <w:sz w:val="20"/>
          <w:szCs w:val="20"/>
          <w:lang w:eastAsia="sv-SE"/>
        </w:rPr>
        <w:t>On carrier aggregation on PC5</w:t>
      </w:r>
      <w:r>
        <w:rPr>
          <w:rFonts w:ascii="Times New Roman" w:hAnsi="Times New Roman" w:cs="Times New Roman"/>
          <w:color w:val="312E25"/>
          <w:sz w:val="20"/>
          <w:szCs w:val="20"/>
          <w:lang w:eastAsia="sv-SE"/>
        </w:rPr>
        <w:t>”, Ericsson</w:t>
      </w:r>
      <w:bookmarkEnd w:id="9"/>
    </w:p>
    <w:p w14:paraId="5F544654" w14:textId="41D566AD" w:rsidR="00AF6F2D" w:rsidRDefault="00AF6F2D" w:rsidP="00E92726">
      <w:pPr>
        <w:pStyle w:val="ListParagraph"/>
        <w:numPr>
          <w:ilvl w:val="0"/>
          <w:numId w:val="9"/>
        </w:numPr>
        <w:ind w:left="567" w:hanging="425"/>
        <w:rPr>
          <w:rFonts w:ascii="Times New Roman" w:hAnsi="Times New Roman" w:cs="Times New Roman"/>
          <w:color w:val="312E25"/>
          <w:sz w:val="20"/>
          <w:szCs w:val="20"/>
          <w:lang w:eastAsia="sv-SE"/>
        </w:rPr>
      </w:pPr>
      <w:bookmarkStart w:id="10" w:name="_Ref478123186"/>
      <w:r w:rsidRPr="00AF6F2D">
        <w:rPr>
          <w:rFonts w:ascii="Times New Roman" w:hAnsi="Times New Roman" w:cs="Times New Roman"/>
          <w:color w:val="312E25"/>
          <w:sz w:val="20"/>
          <w:szCs w:val="20"/>
          <w:lang w:eastAsia="sv-SE"/>
        </w:rPr>
        <w:t>R1-1705783</w:t>
      </w:r>
      <w:r>
        <w:rPr>
          <w:rFonts w:ascii="Times New Roman" w:hAnsi="Times New Roman" w:cs="Times New Roman"/>
          <w:color w:val="312E25"/>
          <w:sz w:val="20"/>
          <w:szCs w:val="20"/>
          <w:lang w:eastAsia="sv-SE"/>
        </w:rPr>
        <w:t>, “</w:t>
      </w:r>
      <w:r w:rsidRPr="00AF6F2D">
        <w:rPr>
          <w:rFonts w:ascii="Times New Roman" w:hAnsi="Times New Roman" w:cs="Times New Roman"/>
          <w:color w:val="312E25"/>
          <w:sz w:val="20"/>
          <w:szCs w:val="20"/>
          <w:lang w:eastAsia="sv-SE"/>
        </w:rPr>
        <w:t>Reducing time-to-transmit for V2X</w:t>
      </w:r>
      <w:r>
        <w:rPr>
          <w:rFonts w:ascii="Times New Roman" w:hAnsi="Times New Roman" w:cs="Times New Roman"/>
          <w:color w:val="312E25"/>
          <w:sz w:val="20"/>
          <w:szCs w:val="20"/>
          <w:lang w:eastAsia="sv-SE"/>
        </w:rPr>
        <w:t>”, Ericsson</w:t>
      </w:r>
      <w:bookmarkEnd w:id="10"/>
    </w:p>
    <w:p w14:paraId="5FA6188E" w14:textId="76D8DC2D" w:rsidR="00706C19" w:rsidRDefault="00AF6F2D" w:rsidP="00EA783E">
      <w:pPr>
        <w:pStyle w:val="ListParagraph"/>
        <w:numPr>
          <w:ilvl w:val="0"/>
          <w:numId w:val="9"/>
        </w:numPr>
        <w:ind w:left="567" w:hanging="425"/>
        <w:rPr>
          <w:rFonts w:ascii="Times New Roman" w:hAnsi="Times New Roman" w:cs="Times New Roman"/>
          <w:sz w:val="20"/>
          <w:szCs w:val="20"/>
        </w:rPr>
      </w:pPr>
      <w:bookmarkStart w:id="11" w:name="_Ref478123184"/>
      <w:bookmarkEnd w:id="4"/>
      <w:bookmarkEnd w:id="5"/>
      <w:r w:rsidRPr="00AF6F2D">
        <w:rPr>
          <w:rFonts w:ascii="Times New Roman" w:hAnsi="Times New Roman" w:cs="Times New Roman"/>
          <w:sz w:val="20"/>
          <w:szCs w:val="20"/>
        </w:rPr>
        <w:t>R1-1705782</w:t>
      </w:r>
      <w:r>
        <w:rPr>
          <w:rFonts w:ascii="Times New Roman" w:hAnsi="Times New Roman" w:cs="Times New Roman"/>
          <w:sz w:val="20"/>
          <w:szCs w:val="20"/>
        </w:rPr>
        <w:t>, “</w:t>
      </w:r>
      <w:r w:rsidRPr="00AF6F2D">
        <w:rPr>
          <w:rFonts w:ascii="Times New Roman" w:hAnsi="Times New Roman" w:cs="Times New Roman"/>
          <w:sz w:val="20"/>
          <w:szCs w:val="20"/>
        </w:rPr>
        <w:t>Radio resource pool sharing between mode 3 and mode 4 UEs</w:t>
      </w:r>
      <w:r>
        <w:rPr>
          <w:rFonts w:ascii="Times New Roman" w:hAnsi="Times New Roman" w:cs="Times New Roman"/>
          <w:sz w:val="20"/>
          <w:szCs w:val="20"/>
        </w:rPr>
        <w:t>”, Ericsson</w:t>
      </w:r>
      <w:bookmarkEnd w:id="11"/>
    </w:p>
    <w:p w14:paraId="7883B1BD" w14:textId="1D8D138D" w:rsidR="00B251FD" w:rsidRDefault="00B251FD" w:rsidP="00EA783E">
      <w:pPr>
        <w:pStyle w:val="ListParagraph"/>
        <w:numPr>
          <w:ilvl w:val="0"/>
          <w:numId w:val="9"/>
        </w:numPr>
        <w:ind w:left="567" w:hanging="425"/>
        <w:rPr>
          <w:rFonts w:ascii="Times New Roman" w:hAnsi="Times New Roman" w:cs="Times New Roman"/>
          <w:sz w:val="20"/>
          <w:szCs w:val="20"/>
        </w:rPr>
      </w:pPr>
      <w:bookmarkStart w:id="12" w:name="_Ref478135027"/>
      <w:r>
        <w:rPr>
          <w:rFonts w:ascii="Times New Roman" w:hAnsi="Times New Roman" w:cs="Times New Roman"/>
          <w:sz w:val="20"/>
          <w:szCs w:val="20"/>
        </w:rPr>
        <w:t>R1-1705939, “Half-symbol transmission for AGC and GP”, Ericsson</w:t>
      </w:r>
      <w:bookmarkEnd w:id="12"/>
    </w:p>
    <w:p w14:paraId="7DD891CF" w14:textId="5F1BC1D4" w:rsidR="00B251FD" w:rsidRPr="00BA1426" w:rsidRDefault="00B251FD" w:rsidP="00EB01E4"/>
    <w:p w14:paraId="21A7151F" w14:textId="77777777" w:rsidR="00E92726" w:rsidRPr="00420D28" w:rsidRDefault="00E92726" w:rsidP="003810E1"/>
    <w:sectPr w:rsidR="00E92726" w:rsidRPr="00420D28"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5FB3C" w14:textId="77777777" w:rsidR="00D978CC" w:rsidRDefault="00D978CC">
      <w:r>
        <w:separator/>
      </w:r>
    </w:p>
  </w:endnote>
  <w:endnote w:type="continuationSeparator" w:id="0">
    <w:p w14:paraId="6165A4C1" w14:textId="77777777" w:rsidR="00D978CC" w:rsidRDefault="00D9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6423C" w14:textId="77777777" w:rsidR="00D978CC" w:rsidRDefault="00D978CC">
      <w:r>
        <w:separator/>
      </w:r>
    </w:p>
  </w:footnote>
  <w:footnote w:type="continuationSeparator" w:id="0">
    <w:p w14:paraId="5632CDA0" w14:textId="77777777" w:rsidR="00D978CC" w:rsidRDefault="00D9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8"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36"/>
  </w:num>
  <w:num w:numId="3">
    <w:abstractNumId w:val="33"/>
  </w:num>
  <w:num w:numId="4">
    <w:abstractNumId w:val="16"/>
  </w:num>
  <w:num w:numId="5">
    <w:abstractNumId w:val="20"/>
  </w:num>
  <w:num w:numId="6">
    <w:abstractNumId w:val="37"/>
  </w:num>
  <w:num w:numId="7">
    <w:abstractNumId w:val="2"/>
  </w:num>
  <w:num w:numId="8">
    <w:abstractNumId w:val="30"/>
  </w:num>
  <w:num w:numId="9">
    <w:abstractNumId w:val="15"/>
  </w:num>
  <w:num w:numId="10">
    <w:abstractNumId w:val="21"/>
  </w:num>
  <w:num w:numId="11">
    <w:abstractNumId w:val="3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31"/>
  </w:num>
  <w:num w:numId="18">
    <w:abstractNumId w:val="5"/>
  </w:num>
  <w:num w:numId="19">
    <w:abstractNumId w:val="9"/>
  </w:num>
  <w:num w:numId="20">
    <w:abstractNumId w:val="34"/>
  </w:num>
  <w:num w:numId="21">
    <w:abstractNumId w:val="7"/>
  </w:num>
  <w:num w:numId="22">
    <w:abstractNumId w:val="11"/>
  </w:num>
  <w:num w:numId="23">
    <w:abstractNumId w:val="18"/>
  </w:num>
  <w:num w:numId="24">
    <w:abstractNumId w:val="3"/>
  </w:num>
  <w:num w:numId="25">
    <w:abstractNumId w:val="6"/>
  </w:num>
  <w:num w:numId="26">
    <w:abstractNumId w:val="12"/>
  </w:num>
  <w:num w:numId="27">
    <w:abstractNumId w:val="19"/>
  </w:num>
  <w:num w:numId="28">
    <w:abstractNumId w:val="1"/>
  </w:num>
  <w:num w:numId="29">
    <w:abstractNumId w:val="29"/>
  </w:num>
  <w:num w:numId="30">
    <w:abstractNumId w:val="27"/>
  </w:num>
  <w:num w:numId="31">
    <w:abstractNumId w:val="14"/>
  </w:num>
  <w:num w:numId="32">
    <w:abstractNumId w:val="23"/>
  </w:num>
  <w:num w:numId="33">
    <w:abstractNumId w:val="13"/>
  </w:num>
  <w:num w:numId="34">
    <w:abstractNumId w:val="10"/>
  </w:num>
  <w:num w:numId="35">
    <w:abstractNumId w:val="22"/>
  </w:num>
  <w:num w:numId="36">
    <w:abstractNumId w:val="4"/>
  </w:num>
  <w:num w:numId="37">
    <w:abstractNumId w:val="25"/>
  </w:num>
  <w:num w:numId="38">
    <w:abstractNumId w:val="26"/>
  </w:num>
  <w:num w:numId="39">
    <w:abstractNumId w:val="17"/>
  </w:num>
  <w:num w:numId="40">
    <w:abstractNumId w:val="28"/>
  </w:num>
  <w:num w:numId="4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3AD"/>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33E"/>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5D"/>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978CC"/>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2017-03-24T17:11:00Z</dcterms:created>
  <dcterms:modified xsi:type="dcterms:W3CDTF">2017-03-24T17:11:00Z</dcterms:modified>
</cp:coreProperties>
</file>